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35" w:type="dxa"/>
        <w:tblCellSpacing w:w="0" w:type="dxa"/>
        <w:tblCellMar>
          <w:left w:w="0" w:type="dxa"/>
          <w:right w:w="0" w:type="dxa"/>
        </w:tblCellMar>
        <w:tblLook w:val="04A0"/>
      </w:tblPr>
      <w:tblGrid>
        <w:gridCol w:w="7635"/>
      </w:tblGrid>
      <w:tr w:rsidR="00C555CA" w:rsidRPr="00C555CA" w:rsidTr="00C555CA">
        <w:trPr>
          <w:tblCellSpacing w:w="0" w:type="dxa"/>
        </w:trPr>
        <w:tc>
          <w:tcPr>
            <w:tcW w:w="7635" w:type="dxa"/>
            <w:hideMark/>
          </w:tcPr>
          <w:tbl>
            <w:tblPr>
              <w:tblW w:w="0" w:type="auto"/>
              <w:tblCellSpacing w:w="15" w:type="dxa"/>
              <w:tblCellMar>
                <w:top w:w="15" w:type="dxa"/>
                <w:left w:w="15" w:type="dxa"/>
                <w:bottom w:w="15" w:type="dxa"/>
                <w:right w:w="15" w:type="dxa"/>
              </w:tblCellMar>
              <w:tblLook w:val="04A0"/>
            </w:tblPr>
            <w:tblGrid>
              <w:gridCol w:w="2403"/>
            </w:tblGrid>
            <w:tr w:rsidR="00C555CA" w:rsidRPr="00C555CA">
              <w:trPr>
                <w:tblCellSpacing w:w="15" w:type="dxa"/>
              </w:trPr>
              <w:tc>
                <w:tcPr>
                  <w:tcW w:w="0" w:type="auto"/>
                  <w:hideMark/>
                </w:tcPr>
                <w:p w:rsidR="00C555CA" w:rsidRPr="00C555CA" w:rsidRDefault="00C555CA" w:rsidP="00C555CA">
                  <w:pPr>
                    <w:spacing w:after="0" w:line="240" w:lineRule="auto"/>
                    <w:jc w:val="left"/>
                    <w:textAlignment w:val="top"/>
                    <w:rPr>
                      <w:rFonts w:ascii="Tahoma" w:eastAsia="Times New Roman" w:hAnsi="Tahoma" w:cs="Tahoma"/>
                      <w:b/>
                      <w:color w:val="555555"/>
                      <w:sz w:val="32"/>
                      <w:szCs w:val="32"/>
                      <w:lang w:eastAsia="is-IS"/>
                    </w:rPr>
                  </w:pPr>
                  <w:r w:rsidRPr="00C555CA">
                    <w:rPr>
                      <w:rFonts w:ascii="Arial" w:eastAsia="Times New Roman" w:hAnsi="Arial" w:cs="Arial"/>
                      <w:b/>
                      <w:bCs/>
                      <w:color w:val="CCCCCC"/>
                      <w:sz w:val="32"/>
                      <w:szCs w:val="32"/>
                      <w:lang w:eastAsia="is-IS"/>
                    </w:rPr>
                    <w:t>Verkstjóradeild</w:t>
                  </w:r>
                  <w:r w:rsidRPr="00C555CA">
                    <w:rPr>
                      <w:rFonts w:ascii="Verdana" w:eastAsia="Times New Roman" w:hAnsi="Verdana" w:cs="Tahoma"/>
                      <w:b/>
                      <w:color w:val="000000"/>
                      <w:sz w:val="32"/>
                      <w:szCs w:val="32"/>
                      <w:lang w:eastAsia="is-IS"/>
                    </w:rPr>
                    <w:t xml:space="preserve"> </w:t>
                  </w:r>
                </w:p>
              </w:tc>
            </w:tr>
          </w:tbl>
          <w:p w:rsidR="00C555CA" w:rsidRPr="00C555CA" w:rsidRDefault="00C555CA" w:rsidP="00C555CA">
            <w:pPr>
              <w:spacing w:after="0" w:line="240" w:lineRule="auto"/>
              <w:jc w:val="left"/>
              <w:textAlignment w:val="top"/>
              <w:rPr>
                <w:rFonts w:ascii="Verdana" w:eastAsia="Times New Roman" w:hAnsi="Verdana" w:cs="Tahoma"/>
                <w:b/>
                <w:bCs/>
                <w:caps/>
                <w:color w:val="FFFFFF"/>
                <w:sz w:val="32"/>
                <w:szCs w:val="32"/>
                <w:lang w:eastAsia="is-IS"/>
              </w:rPr>
            </w:pPr>
          </w:p>
        </w:tc>
      </w:tr>
      <w:tr w:rsidR="00C555CA" w:rsidRPr="00C555CA">
        <w:tblPrEx>
          <w:tblCellSpacing w:w="15" w:type="dxa"/>
          <w:tblCellMar>
            <w:top w:w="15" w:type="dxa"/>
            <w:left w:w="15" w:type="dxa"/>
            <w:bottom w:w="15" w:type="dxa"/>
            <w:right w:w="15" w:type="dxa"/>
          </w:tblCellMar>
        </w:tblPrEx>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7545"/>
            </w:tblGrid>
            <w:tr w:rsidR="00C555CA" w:rsidRPr="00C555CA">
              <w:trPr>
                <w:tblCellSpacing w:w="15" w:type="dxa"/>
              </w:trPr>
              <w:tc>
                <w:tcPr>
                  <w:tcW w:w="0" w:type="auto"/>
                  <w:hideMark/>
                </w:tcPr>
                <w:p w:rsidR="00C555CA" w:rsidRPr="00C555CA" w:rsidRDefault="00C555CA" w:rsidP="00C555CA">
                  <w:pPr>
                    <w:spacing w:after="0" w:line="240" w:lineRule="auto"/>
                    <w:jc w:val="left"/>
                    <w:rPr>
                      <w:rFonts w:ascii="Tahoma" w:eastAsia="Times New Roman" w:hAnsi="Tahoma" w:cs="Tahoma"/>
                      <w:color w:val="555555"/>
                      <w:sz w:val="20"/>
                      <w:szCs w:val="20"/>
                      <w:lang w:eastAsia="is-IS"/>
                    </w:rPr>
                  </w:pPr>
                </w:p>
              </w:tc>
            </w:tr>
            <w:tr w:rsidR="00C555CA" w:rsidRPr="00C555CA">
              <w:trPr>
                <w:tblCellSpacing w:w="15" w:type="dxa"/>
              </w:trPr>
              <w:tc>
                <w:tcPr>
                  <w:tcW w:w="0" w:type="auto"/>
                  <w:hideMark/>
                </w:tcPr>
                <w:p w:rsidR="00C555CA" w:rsidRPr="00C555CA" w:rsidRDefault="00C555CA" w:rsidP="00C555CA">
                  <w:pPr>
                    <w:spacing w:after="0" w:line="240" w:lineRule="auto"/>
                    <w:jc w:val="left"/>
                    <w:rPr>
                      <w:rFonts w:ascii="Tahoma" w:eastAsia="Times New Roman" w:hAnsi="Tahoma" w:cs="Tahoma"/>
                      <w:color w:val="555555"/>
                      <w:sz w:val="20"/>
                      <w:szCs w:val="20"/>
                      <w:lang w:eastAsia="is-IS"/>
                    </w:rPr>
                  </w:pPr>
                </w:p>
              </w:tc>
            </w:tr>
            <w:tr w:rsidR="00C555CA" w:rsidRPr="00C555CA">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7455"/>
                  </w:tblGrid>
                  <w:tr w:rsidR="00C555CA" w:rsidRPr="00C555CA">
                    <w:trPr>
                      <w:trHeight w:val="243"/>
                      <w:tblCellSpacing w:w="15" w:type="dxa"/>
                    </w:trPr>
                    <w:tc>
                      <w:tcPr>
                        <w:tcW w:w="0" w:type="auto"/>
                        <w:vMerge w:val="restart"/>
                      </w:tcPr>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t>1.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Deildin heitir verkstjóradeild MFFÍ. Deildin nær yfir allt landið. Deildin er aðili að Mjólkurfræðingafélagi Íslands.</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0" w:name="2"/>
                        <w:bookmarkEnd w:id="0"/>
                        <w:r w:rsidRPr="00C555CA">
                          <w:rPr>
                            <w:rFonts w:ascii="Verdana" w:eastAsia="Times New Roman" w:hAnsi="Verdana" w:cs="Tahoma"/>
                            <w:b/>
                            <w:bCs/>
                            <w:color w:val="000080"/>
                            <w:sz w:val="20"/>
                            <w:szCs w:val="20"/>
                            <w:lang w:eastAsia="is-IS"/>
                          </w:rPr>
                          <w:t>2. grein</w:t>
                        </w:r>
                      </w:p>
                      <w:tbl>
                        <w:tblPr>
                          <w:tblW w:w="7230" w:type="dxa"/>
                          <w:tblCellSpacing w:w="37" w:type="dxa"/>
                          <w:tblCellMar>
                            <w:left w:w="0" w:type="dxa"/>
                            <w:right w:w="0" w:type="dxa"/>
                          </w:tblCellMar>
                          <w:tblLook w:val="04A0"/>
                        </w:tblPr>
                        <w:tblGrid>
                          <w:gridCol w:w="453"/>
                          <w:gridCol w:w="6777"/>
                        </w:tblGrid>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1.</w:t>
                              </w:r>
                            </w:p>
                          </w:tc>
                          <w:tc>
                            <w:tcPr>
                              <w:tcW w:w="613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br/>
                                <w:t>Tilgangur deildarinnar er að auka og efla samvinnu meðal yfirmanna á félagssvæðinu og starfa að þeim málum sem snerta atvinnu þeirra.</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2.</w:t>
                              </w:r>
                            </w:p>
                          </w:tc>
                          <w:tc>
                            <w:tcPr>
                              <w:tcW w:w="613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Vinna að aukinni menntun,endurmenntun og verkhæfni yfirmanna, starfa að sameiginlegum áhugamálum, og gæta þeirra í hvívetna.</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3.</w:t>
                              </w:r>
                            </w:p>
                          </w:tc>
                          <w:tc>
                            <w:tcPr>
                              <w:tcW w:w="613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Að koma í veg fyrir að réttur félagsmanna sé fyrir borð borinn í atvinnumálum.</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4.</w:t>
                              </w:r>
                            </w:p>
                          </w:tc>
                          <w:tc>
                            <w:tcPr>
                              <w:tcW w:w="613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br/>
                                <w:t>Að vinna að hvers konar framförum meðal félaga deildarinnar.</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5.</w:t>
                              </w:r>
                            </w:p>
                          </w:tc>
                          <w:tc>
                            <w:tcPr>
                              <w:tcW w:w="613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br/>
                                <w:t>Að aðstoða atvinnulausa félagsmenn í atvinnuleit.</w:t>
                              </w:r>
                            </w:p>
                          </w:tc>
                        </w:tr>
                      </w:tbl>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 w:name="3"/>
                        <w:bookmarkEnd w:id="1"/>
                        <w:r w:rsidRPr="00C555CA">
                          <w:rPr>
                            <w:rFonts w:ascii="Verdana" w:eastAsia="Times New Roman" w:hAnsi="Verdana" w:cs="Tahoma"/>
                            <w:b/>
                            <w:bCs/>
                            <w:color w:val="000080"/>
                            <w:sz w:val="20"/>
                            <w:szCs w:val="20"/>
                            <w:lang w:eastAsia="is-IS"/>
                          </w:rPr>
                          <w:t>3.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Deildin er skipulagsbundið stéttarfélag yfirmanna í MFFÍ.</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2" w:name="4"/>
                        <w:bookmarkEnd w:id="2"/>
                        <w:r w:rsidRPr="00C555CA">
                          <w:rPr>
                            <w:rFonts w:ascii="Verdana" w:eastAsia="Times New Roman" w:hAnsi="Verdana" w:cs="Tahoma"/>
                            <w:b/>
                            <w:bCs/>
                            <w:color w:val="000080"/>
                            <w:sz w:val="20"/>
                            <w:szCs w:val="20"/>
                            <w:lang w:eastAsia="is-IS"/>
                          </w:rPr>
                          <w:t>4. grein</w:t>
                        </w:r>
                      </w:p>
                      <w:tbl>
                        <w:tblPr>
                          <w:tblW w:w="7260" w:type="dxa"/>
                          <w:tblCellSpacing w:w="37" w:type="dxa"/>
                          <w:tblCellMar>
                            <w:left w:w="0" w:type="dxa"/>
                            <w:right w:w="0" w:type="dxa"/>
                          </w:tblCellMar>
                          <w:tblLook w:val="04A0"/>
                        </w:tblPr>
                        <w:tblGrid>
                          <w:gridCol w:w="459"/>
                          <w:gridCol w:w="6801"/>
                        </w:tblGrid>
                        <w:tr w:rsidR="00C555CA" w:rsidRPr="00C555CA">
                          <w:trPr>
                            <w:tblCellSpacing w:w="37" w:type="dxa"/>
                          </w:trPr>
                          <w:tc>
                            <w:tcPr>
                              <w:tcW w:w="7050" w:type="dxa"/>
                              <w:gridSpan w:val="2"/>
                              <w:tcBorders>
                                <w:top w:val="nil"/>
                                <w:left w:val="nil"/>
                                <w:bottom w:val="nil"/>
                                <w:right w:val="nil"/>
                              </w:tcBorders>
                              <w:shd w:val="clear" w:color="auto" w:fill="auto"/>
                              <w:hideMark/>
                            </w:tcPr>
                            <w:p w:rsidR="00C555CA" w:rsidRPr="00C555CA" w:rsidRDefault="00C555CA" w:rsidP="00C555CA">
                              <w:pPr>
                                <w:spacing w:before="100" w:beforeAutospacing="1" w:after="100" w:afterAutospacing="1" w:line="240" w:lineRule="auto"/>
                                <w:jc w:val="left"/>
                                <w:textAlignment w:val="top"/>
                                <w:rPr>
                                  <w:rFonts w:ascii="Arial" w:eastAsia="Times New Roman" w:hAnsi="Arial" w:cs="Tahoma"/>
                                  <w:color w:val="555555"/>
                                  <w:sz w:val="20"/>
                                  <w:szCs w:val="20"/>
                                  <w:lang w:eastAsia="is-IS"/>
                                </w:rPr>
                              </w:pPr>
                              <w:r w:rsidRPr="00C555CA">
                                <w:rPr>
                                  <w:rFonts w:ascii="Arial" w:eastAsia="Times New Roman" w:hAnsi="Arial" w:cs="Tahoma"/>
                                  <w:color w:val="555555"/>
                                  <w:sz w:val="20"/>
                                  <w:szCs w:val="20"/>
                                  <w:lang w:eastAsia="is-IS"/>
                                </w:rPr>
                                <w:t>Félagsmenn geta þeir einir orðið:</w:t>
                              </w:r>
                            </w:p>
                          </w:tc>
                        </w:tr>
                        <w:tr w:rsidR="00C555CA" w:rsidRPr="00C555CA">
                          <w:trPr>
                            <w:tblCellSpacing w:w="37" w:type="dxa"/>
                          </w:trPr>
                          <w:tc>
                            <w:tcPr>
                              <w:tcW w:w="34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1.</w:t>
                              </w:r>
                            </w:p>
                          </w:tc>
                          <w:tc>
                            <w:tcPr>
                              <w:tcW w:w="658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 xml:space="preserve">Sem eru starfandi yfirmenn, hafa sveinsréttindi, og eru félagsmenn í MFFÍ. </w:t>
                              </w:r>
                            </w:p>
                          </w:tc>
                        </w:tr>
                        <w:tr w:rsidR="00C555CA" w:rsidRPr="00C555CA">
                          <w:trPr>
                            <w:tblCellSpacing w:w="37" w:type="dxa"/>
                          </w:trPr>
                          <w:tc>
                            <w:tcPr>
                              <w:tcW w:w="34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2.</w:t>
                              </w:r>
                            </w:p>
                          </w:tc>
                          <w:tc>
                            <w:tcPr>
                              <w:tcW w:w="658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br/>
                                <w:t xml:space="preserve">Skulu þeir hafa framhaldsnám í mjólkuriðn að baki. </w:t>
                              </w:r>
                            </w:p>
                          </w:tc>
                        </w:tr>
                        <w:tr w:rsidR="00C555CA" w:rsidRPr="00C555CA">
                          <w:trPr>
                            <w:tblCellSpacing w:w="37" w:type="dxa"/>
                          </w:trPr>
                          <w:tc>
                            <w:tcPr>
                              <w:tcW w:w="34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3.</w:t>
                              </w:r>
                            </w:p>
                          </w:tc>
                          <w:tc>
                            <w:tcPr>
                              <w:tcW w:w="658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br/>
                                <w:t xml:space="preserve">Yfirmenn eru þeir sem starfa við stjórnun og stjórnunarstörf sem aðalstarf. </w:t>
                              </w:r>
                            </w:p>
                          </w:tc>
                        </w:tr>
                      </w:tbl>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3" w:name="5"/>
                        <w:bookmarkEnd w:id="3"/>
                        <w:r w:rsidRPr="00C555CA">
                          <w:rPr>
                            <w:rFonts w:ascii="Verdana" w:eastAsia="Times New Roman" w:hAnsi="Verdana" w:cs="Tahoma"/>
                            <w:b/>
                            <w:bCs/>
                            <w:color w:val="000080"/>
                            <w:sz w:val="20"/>
                            <w:szCs w:val="20"/>
                            <w:lang w:eastAsia="is-IS"/>
                          </w:rPr>
                          <w:t>5.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Yfirmenn sem æskja inngöngu í deildina sendi inntökubeiðnir sínar skriflega til stjórnar deildarinnar. Samþykki stjórn deildarinnar inntökubeiðnina skal nýr meðlimur tekinn formlega inn á aðalfundi ár hvert.</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4" w:name="6"/>
                        <w:bookmarkEnd w:id="4"/>
                        <w:r w:rsidRPr="00C555CA">
                          <w:rPr>
                            <w:rFonts w:ascii="Verdana" w:eastAsia="Times New Roman" w:hAnsi="Verdana" w:cs="Tahoma"/>
                            <w:b/>
                            <w:bCs/>
                            <w:color w:val="000080"/>
                            <w:sz w:val="20"/>
                            <w:szCs w:val="20"/>
                            <w:lang w:eastAsia="is-IS"/>
                          </w:rPr>
                          <w:t>6.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Árstillög til deildarinnar skulu vera ákveðinn % af félagsgjöldum félagsmanna til MFFÍ.</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5" w:name="7"/>
                        <w:bookmarkEnd w:id="5"/>
                        <w:r w:rsidRPr="00C555CA">
                          <w:rPr>
                            <w:rFonts w:ascii="Verdana" w:eastAsia="Times New Roman" w:hAnsi="Verdana" w:cs="Tahoma"/>
                            <w:b/>
                            <w:bCs/>
                            <w:color w:val="000080"/>
                            <w:sz w:val="20"/>
                            <w:szCs w:val="20"/>
                            <w:lang w:eastAsia="is-IS"/>
                          </w:rPr>
                          <w:t>7. grein</w:t>
                        </w:r>
                      </w:p>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 xml:space="preserve">Verði breytingar á starfshögum félagsmanns, þannig að starf hans samrýmist ekki veru í deildinni skal hann tilkynna sig úr deildinni. </w:t>
                        </w:r>
                      </w:p>
                      <w:p w:rsidR="00C555CA" w:rsidRPr="00C555CA" w:rsidRDefault="00C555CA" w:rsidP="00C555CA">
                        <w:pPr>
                          <w:spacing w:before="100" w:beforeAutospacing="1" w:after="100" w:afterAutospacing="1" w:line="240" w:lineRule="auto"/>
                          <w:jc w:val="left"/>
                          <w:textAlignment w:val="top"/>
                          <w:rPr>
                            <w:rFonts w:ascii="Arial" w:eastAsia="Times New Roman" w:hAnsi="Arial" w:cs="Tahoma"/>
                            <w:color w:val="555555"/>
                            <w:sz w:val="20"/>
                            <w:szCs w:val="20"/>
                            <w:lang w:eastAsia="is-IS"/>
                          </w:rPr>
                        </w:pPr>
                        <w:r w:rsidRPr="00C555CA">
                          <w:rPr>
                            <w:rFonts w:ascii="Arial" w:eastAsia="Times New Roman" w:hAnsi="Arial" w:cs="Tahoma"/>
                            <w:color w:val="555555"/>
                            <w:sz w:val="20"/>
                            <w:szCs w:val="20"/>
                            <w:lang w:eastAsia="is-IS"/>
                          </w:rPr>
                          <w:t>Úrsögn úr deildinni skal vera skrifleg og skal hlutaðeigandi yfirmaður ekki vera í skuld við deildina né heldur MFFÍ.</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6" w:name="8"/>
                        <w:bookmarkEnd w:id="6"/>
                        <w:r w:rsidRPr="00C555CA">
                          <w:rPr>
                            <w:rFonts w:ascii="Verdana" w:eastAsia="Times New Roman" w:hAnsi="Verdana" w:cs="Tahoma"/>
                            <w:b/>
                            <w:bCs/>
                            <w:color w:val="000080"/>
                            <w:sz w:val="20"/>
                            <w:szCs w:val="20"/>
                            <w:lang w:eastAsia="is-IS"/>
                          </w:rPr>
                          <w:t>8.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Réttindi félagsmanna eru: </w:t>
                        </w:r>
                        <w:r w:rsidRPr="00C555CA">
                          <w:rPr>
                            <w:rFonts w:ascii="Verdana" w:eastAsia="Times New Roman" w:hAnsi="Verdana" w:cs="Tahoma"/>
                            <w:color w:val="555555"/>
                            <w:sz w:val="20"/>
                            <w:szCs w:val="20"/>
                            <w:lang w:eastAsia="is-IS"/>
                          </w:rPr>
                          <w:br/>
                          <w:t>Málfrelsi, tillöguréttur og atkvæðisréttur samkvæmt fundarsköpum MFFÍ.</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7" w:name="9"/>
                        <w:bookmarkEnd w:id="7"/>
                        <w:r w:rsidRPr="00C555CA">
                          <w:rPr>
                            <w:rFonts w:ascii="Verdana" w:eastAsia="Times New Roman" w:hAnsi="Verdana" w:cs="Tahoma"/>
                            <w:b/>
                            <w:bCs/>
                            <w:color w:val="000080"/>
                            <w:sz w:val="20"/>
                            <w:szCs w:val="20"/>
                            <w:lang w:eastAsia="is-IS"/>
                          </w:rPr>
                          <w:t>9.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Komi það fyrir að ágreiningur verði á milli atvinnurekanda og yfirmanns í atvinnumálum, er viðkomandi félagsmanni skylt að leggja málið strax fyrir stjórn deildarinnar, sem skal þá taka það til athugunnar og reyna</w:t>
                        </w:r>
                        <w:r>
                          <w:rPr>
                            <w:rFonts w:ascii="Verdana" w:eastAsia="Times New Roman" w:hAnsi="Verdana" w:cs="Tahoma"/>
                            <w:color w:val="555555"/>
                            <w:sz w:val="20"/>
                            <w:szCs w:val="20"/>
                            <w:lang w:eastAsia="is-IS"/>
                          </w:rPr>
                          <w:t xml:space="preserve"> </w:t>
                        </w:r>
                        <w:r w:rsidRPr="00C555CA">
                          <w:rPr>
                            <w:rFonts w:ascii="Verdana" w:eastAsia="Times New Roman" w:hAnsi="Verdana" w:cs="Tahoma"/>
                            <w:color w:val="555555"/>
                            <w:sz w:val="20"/>
                            <w:szCs w:val="20"/>
                            <w:lang w:eastAsia="is-IS"/>
                          </w:rPr>
                          <w:t>að miðla málum þannig að hlutaðeigandi félagi tapi ekki atvinnu.</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8" w:name="10"/>
                        <w:bookmarkEnd w:id="8"/>
                        <w:r w:rsidRPr="00C555CA">
                          <w:rPr>
                            <w:rFonts w:ascii="Verdana" w:eastAsia="Times New Roman" w:hAnsi="Verdana" w:cs="Tahoma"/>
                            <w:b/>
                            <w:bCs/>
                            <w:color w:val="000080"/>
                            <w:sz w:val="20"/>
                            <w:szCs w:val="20"/>
                            <w:lang w:eastAsia="is-IS"/>
                          </w:rPr>
                          <w:lastRenderedPageBreak/>
                          <w:t>10. grein</w:t>
                        </w:r>
                      </w:p>
                      <w:tbl>
                        <w:tblPr>
                          <w:tblW w:w="7140" w:type="dxa"/>
                          <w:tblCellSpacing w:w="37" w:type="dxa"/>
                          <w:tblCellMar>
                            <w:top w:w="30" w:type="dxa"/>
                            <w:left w:w="30" w:type="dxa"/>
                            <w:bottom w:w="30" w:type="dxa"/>
                            <w:right w:w="30" w:type="dxa"/>
                          </w:tblCellMar>
                          <w:tblLook w:val="04A0"/>
                        </w:tblPr>
                        <w:tblGrid>
                          <w:gridCol w:w="454"/>
                          <w:gridCol w:w="6686"/>
                        </w:tblGrid>
                        <w:tr w:rsidR="00C555CA" w:rsidRPr="00C555CA">
                          <w:trPr>
                            <w:tblCellSpacing w:w="37" w:type="dxa"/>
                          </w:trPr>
                          <w:tc>
                            <w:tcPr>
                              <w:tcW w:w="6360" w:type="dxa"/>
                              <w:gridSpan w:val="2"/>
                              <w:tcBorders>
                                <w:top w:val="nil"/>
                                <w:left w:val="nil"/>
                                <w:bottom w:val="nil"/>
                                <w:right w:val="nil"/>
                              </w:tcBorders>
                              <w:shd w:val="clear" w:color="auto" w:fill="auto"/>
                              <w:hideMark/>
                            </w:tcPr>
                            <w:p w:rsidR="00C555CA" w:rsidRPr="00C555CA" w:rsidRDefault="00C555CA" w:rsidP="00C555CA">
                              <w:pPr>
                                <w:spacing w:before="100" w:beforeAutospacing="1" w:after="100" w:afterAutospacing="1" w:line="240" w:lineRule="auto"/>
                                <w:jc w:val="left"/>
                                <w:textAlignment w:val="top"/>
                                <w:rPr>
                                  <w:rFonts w:ascii="Arial" w:eastAsia="Times New Roman" w:hAnsi="Arial" w:cs="Tahoma"/>
                                  <w:color w:val="555555"/>
                                  <w:sz w:val="20"/>
                                  <w:szCs w:val="20"/>
                                  <w:lang w:eastAsia="is-IS"/>
                                </w:rPr>
                              </w:pPr>
                              <w:r w:rsidRPr="00C555CA">
                                <w:rPr>
                                  <w:rFonts w:ascii="Arial" w:eastAsia="Times New Roman" w:hAnsi="Arial" w:cs="Tahoma"/>
                                  <w:color w:val="555555"/>
                                  <w:sz w:val="20"/>
                                  <w:szCs w:val="20"/>
                                  <w:lang w:eastAsia="is-IS"/>
                                </w:rPr>
                                <w:t>Skyldur félagsmanna eru:</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1.</w:t>
                              </w:r>
                            </w:p>
                          </w:tc>
                          <w:tc>
                            <w:tcPr>
                              <w:tcW w:w="6045" w:type="dxa"/>
                              <w:tcBorders>
                                <w:top w:val="nil"/>
                                <w:left w:val="nil"/>
                                <w:bottom w:val="nil"/>
                                <w:right w:val="nil"/>
                              </w:tcBorders>
                              <w:shd w:val="clear" w:color="auto" w:fill="auto"/>
                              <w:hideMark/>
                            </w:tcPr>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br/>
                                <w:t>Að hlýða starfsgeglum félagsins.</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2.</w:t>
                              </w:r>
                            </w:p>
                          </w:tc>
                          <w:tc>
                            <w:tcPr>
                              <w:tcW w:w="6045" w:type="dxa"/>
                              <w:tcBorders>
                                <w:top w:val="nil"/>
                                <w:left w:val="nil"/>
                                <w:bottom w:val="nil"/>
                                <w:right w:val="nil"/>
                              </w:tcBorders>
                              <w:shd w:val="clear" w:color="auto" w:fill="auto"/>
                              <w:hideMark/>
                            </w:tcPr>
                            <w:p w:rsidR="00C555CA" w:rsidRPr="00C555CA" w:rsidRDefault="00C555CA" w:rsidP="00C555CA">
                              <w:pPr>
                                <w:spacing w:before="100" w:beforeAutospacing="1" w:after="100" w:afterAutospacing="1" w:line="240" w:lineRule="auto"/>
                                <w:jc w:val="left"/>
                                <w:textAlignment w:val="top"/>
                                <w:rPr>
                                  <w:rFonts w:ascii="Arial" w:eastAsia="Times New Roman" w:hAnsi="Arial" w:cs="Tahoma"/>
                                  <w:color w:val="555555"/>
                                  <w:sz w:val="20"/>
                                  <w:szCs w:val="20"/>
                                  <w:lang w:eastAsia="is-IS"/>
                                </w:rPr>
                              </w:pPr>
                              <w:r w:rsidRPr="00C555CA">
                                <w:rPr>
                                  <w:rFonts w:ascii="Arial" w:eastAsia="Times New Roman" w:hAnsi="Arial" w:cs="Tahoma"/>
                                  <w:color w:val="555555"/>
                                  <w:sz w:val="20"/>
                                  <w:szCs w:val="20"/>
                                  <w:lang w:eastAsia="is-IS"/>
                                </w:rPr>
                                <w:br/>
                                <w:t xml:space="preserve">Að gegna trúnaðarstörfum fyrir deildina. </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3.</w:t>
                              </w:r>
                            </w:p>
                          </w:tc>
                          <w:tc>
                            <w:tcPr>
                              <w:tcW w:w="6045" w:type="dxa"/>
                              <w:tcBorders>
                                <w:top w:val="nil"/>
                                <w:left w:val="nil"/>
                                <w:bottom w:val="nil"/>
                                <w:right w:val="nil"/>
                              </w:tcBorders>
                              <w:shd w:val="clear" w:color="auto" w:fill="auto"/>
                              <w:hideMark/>
                            </w:tcPr>
                            <w:p w:rsidR="00C555CA" w:rsidRPr="00C555CA" w:rsidRDefault="00C555CA" w:rsidP="00C555CA">
                              <w:pPr>
                                <w:spacing w:before="100" w:beforeAutospacing="1" w:after="100" w:afterAutospacing="1" w:line="240" w:lineRule="auto"/>
                                <w:jc w:val="left"/>
                                <w:textAlignment w:val="top"/>
                                <w:rPr>
                                  <w:rFonts w:ascii="Arial" w:eastAsia="Times New Roman" w:hAnsi="Arial" w:cs="Tahoma"/>
                                  <w:color w:val="555555"/>
                                  <w:sz w:val="20"/>
                                  <w:szCs w:val="20"/>
                                  <w:lang w:eastAsia="is-IS"/>
                                </w:rPr>
                              </w:pPr>
                              <w:r w:rsidRPr="00C555CA">
                                <w:rPr>
                                  <w:rFonts w:ascii="Arial" w:eastAsia="Times New Roman" w:hAnsi="Arial" w:cs="Tahoma"/>
                                  <w:color w:val="555555"/>
                                  <w:sz w:val="20"/>
                                  <w:szCs w:val="20"/>
                                  <w:lang w:eastAsia="is-IS"/>
                                </w:rPr>
                                <w:br/>
                                <w:t xml:space="preserve">Að greiða áskilin félagsgjöld til deildarinnar á réttum gjalddögum. </w:t>
                              </w:r>
                            </w:p>
                          </w:tc>
                        </w:tr>
                        <w:tr w:rsidR="00C555CA" w:rsidRPr="00C555CA">
                          <w:trPr>
                            <w:tblCellSpacing w:w="37" w:type="dxa"/>
                          </w:trPr>
                          <w:tc>
                            <w:tcPr>
                              <w:tcW w:w="315" w:type="dxa"/>
                              <w:tcBorders>
                                <w:top w:val="nil"/>
                                <w:left w:val="nil"/>
                                <w:bottom w:val="nil"/>
                                <w:right w:val="nil"/>
                              </w:tcBorders>
                              <w:shd w:val="clear" w:color="auto" w:fill="auto"/>
                              <w:hideMark/>
                            </w:tcPr>
                            <w:p w:rsidR="00C555CA" w:rsidRPr="00C555CA" w:rsidRDefault="00C555CA" w:rsidP="00C555CA">
                              <w:pPr>
                                <w:spacing w:before="240" w:after="60" w:line="240" w:lineRule="auto"/>
                                <w:jc w:val="left"/>
                                <w:textAlignment w:val="top"/>
                                <w:outlineLvl w:val="3"/>
                                <w:rPr>
                                  <w:rFonts w:ascii="Verdana" w:eastAsia="Times New Roman" w:hAnsi="Verdana" w:cs="Tahoma"/>
                                  <w:b/>
                                  <w:bCs/>
                                  <w:color w:val="000000"/>
                                  <w:sz w:val="20"/>
                                  <w:szCs w:val="20"/>
                                  <w:lang w:eastAsia="is-IS"/>
                                </w:rPr>
                              </w:pPr>
                              <w:r w:rsidRPr="00C555CA">
                                <w:rPr>
                                  <w:rFonts w:ascii="Verdana" w:eastAsia="Times New Roman" w:hAnsi="Verdana" w:cs="Tahoma"/>
                                  <w:b/>
                                  <w:bCs/>
                                  <w:color w:val="000000"/>
                                  <w:sz w:val="20"/>
                                  <w:szCs w:val="20"/>
                                  <w:lang w:eastAsia="is-IS"/>
                                </w:rPr>
                                <w:t>4.</w:t>
                              </w:r>
                            </w:p>
                          </w:tc>
                          <w:tc>
                            <w:tcPr>
                              <w:tcW w:w="6045" w:type="dxa"/>
                              <w:tcBorders>
                                <w:top w:val="nil"/>
                                <w:left w:val="nil"/>
                                <w:bottom w:val="nil"/>
                                <w:right w:val="nil"/>
                              </w:tcBorders>
                              <w:shd w:val="clear" w:color="auto" w:fill="auto"/>
                              <w:hideMark/>
                            </w:tcPr>
                            <w:p w:rsidR="00C555CA" w:rsidRPr="00C555CA" w:rsidRDefault="00C555CA" w:rsidP="00C555CA">
                              <w:pPr>
                                <w:spacing w:before="100" w:beforeAutospacing="1" w:after="100" w:afterAutospacing="1" w:line="240" w:lineRule="auto"/>
                                <w:jc w:val="left"/>
                                <w:textAlignment w:val="top"/>
                                <w:rPr>
                                  <w:rFonts w:ascii="Arial" w:eastAsia="Times New Roman" w:hAnsi="Arial" w:cs="Tahoma"/>
                                  <w:color w:val="555555"/>
                                  <w:sz w:val="20"/>
                                  <w:szCs w:val="20"/>
                                  <w:lang w:eastAsia="is-IS"/>
                                </w:rPr>
                              </w:pPr>
                              <w:r w:rsidRPr="00C555CA">
                                <w:rPr>
                                  <w:rFonts w:ascii="Arial" w:eastAsia="Times New Roman" w:hAnsi="Arial" w:cs="Tahoma"/>
                                  <w:color w:val="555555"/>
                                  <w:sz w:val="20"/>
                                  <w:szCs w:val="20"/>
                                  <w:lang w:eastAsia="is-IS"/>
                                </w:rPr>
                                <w:br/>
                                <w:t xml:space="preserve">Að halda öllu því sem fer fram á fundum deildarinnar innan vébanda hennar. </w:t>
                              </w:r>
                            </w:p>
                          </w:tc>
                        </w:tr>
                      </w:tbl>
                      <w:p w:rsidR="00C555CA" w:rsidRPr="00C555CA" w:rsidRDefault="00C555CA" w:rsidP="00C555CA">
                        <w:pPr>
                          <w:spacing w:after="0" w:line="240" w:lineRule="auto"/>
                          <w:jc w:val="left"/>
                          <w:textAlignment w:val="top"/>
                          <w:rPr>
                            <w:rFonts w:ascii="Verdana" w:eastAsia="Times New Roman" w:hAnsi="Verdana" w:cs="Tahoma"/>
                            <w:color w:val="555555"/>
                            <w:sz w:val="20"/>
                            <w:szCs w:val="20"/>
                            <w:lang w:eastAsia="is-IS"/>
                          </w:rPr>
                        </w:pP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9" w:name="11"/>
                        <w:bookmarkEnd w:id="9"/>
                        <w:r w:rsidRPr="00C555CA">
                          <w:rPr>
                            <w:rFonts w:ascii="Verdana" w:eastAsia="Times New Roman" w:hAnsi="Verdana" w:cs="Tahoma"/>
                            <w:b/>
                            <w:bCs/>
                            <w:color w:val="000080"/>
                            <w:sz w:val="20"/>
                            <w:szCs w:val="20"/>
                            <w:lang w:eastAsia="is-IS"/>
                          </w:rPr>
                          <w:t>11.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Nú hefur einhver félagsmaður gegnt trúnaðarstörfum í deildinni í tvö kjörtímabil saman, getur hann þá skorast undan endurkosningu í jafnlangan tíma.</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0" w:name="12"/>
                        <w:bookmarkEnd w:id="10"/>
                        <w:r w:rsidRPr="00C555CA">
                          <w:rPr>
                            <w:rFonts w:ascii="Verdana" w:eastAsia="Times New Roman" w:hAnsi="Verdana" w:cs="Tahoma"/>
                            <w:b/>
                            <w:bCs/>
                            <w:color w:val="000080"/>
                            <w:sz w:val="20"/>
                            <w:szCs w:val="20"/>
                            <w:lang w:eastAsia="is-IS"/>
                          </w:rPr>
                          <w:t>12.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Falli grunur á félagsmann um að hann hafi gerst sekur í að vinna gegn stefnu deildarinnar, samþykktum eða samningum, skal stjórn deildarinnar kanna málið eins vel og auðið er. Verði sekt félagsmannsins sönnuð skal stjórnin kalla hann á sinn fund og ræða málið vel við hann og gefa honum áminningu. Fari svo að áminningin komi ekki að gagni er stjórn deildarinnar heimilt að víkja manninum úr deildinni án frekari fyrirvara. Aðalfundur deildarinnar tekur endanlega ákvörðun um brottrekstur úr deildinni. Einfaldur meirihluti atkvæða ræður úrslitum á þeim fundi.</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1" w:name="13"/>
                        <w:bookmarkEnd w:id="11"/>
                        <w:r w:rsidRPr="00C555CA">
                          <w:rPr>
                            <w:rFonts w:ascii="Verdana" w:eastAsia="Times New Roman" w:hAnsi="Verdana" w:cs="Tahoma"/>
                            <w:b/>
                            <w:bCs/>
                            <w:color w:val="000080"/>
                            <w:sz w:val="20"/>
                            <w:szCs w:val="20"/>
                            <w:lang w:eastAsia="is-IS"/>
                          </w:rPr>
                          <w:t>13.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Félagsmönnum er óheimilt að ganga inn á verksvið hvors annars án samkomulags eða samninga um slíkt. Félagsmenn meiga ekki bjóða hvorn annan frá verki með lægra launaboði.</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2" w:name="14"/>
                        <w:bookmarkEnd w:id="12"/>
                        <w:r w:rsidRPr="00C555CA">
                          <w:rPr>
                            <w:rFonts w:ascii="Verdana" w:eastAsia="Times New Roman" w:hAnsi="Verdana" w:cs="Tahoma"/>
                            <w:b/>
                            <w:bCs/>
                            <w:color w:val="000080"/>
                            <w:sz w:val="20"/>
                            <w:szCs w:val="20"/>
                            <w:lang w:eastAsia="is-IS"/>
                          </w:rPr>
                          <w:t>14.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Félagsmenn deildarinnar eru þeir yfirmenn sem hafa með höndum ýmiskonar stjórnun og starfa við stjórnun sem aðalstarf. Er þeim skylt að vera í MFFÍ. Framkvæmdastjórar, mjólkursamlagsstjórar, framleiðslustjórar og verkstjórar sem starfa eingöngu við stjórnun njóta ekki kjörgengis, kosningaréttar né atkvæðisréttar um kjaramál. Skulu þeir undanþegnir kjaradeilum.</w:t>
                        </w:r>
                        <w:r w:rsidRPr="00C555CA">
                          <w:rPr>
                            <w:rFonts w:ascii="Verdana" w:eastAsia="Times New Roman" w:hAnsi="Verdana" w:cs="Tahoma"/>
                            <w:color w:val="555555"/>
                            <w:sz w:val="20"/>
                            <w:szCs w:val="20"/>
                            <w:lang w:eastAsia="is-IS"/>
                          </w:rPr>
                          <w:br/>
                        </w:r>
                        <w:r w:rsidRPr="00C555CA">
                          <w:rPr>
                            <w:rFonts w:ascii="Verdana" w:eastAsia="Times New Roman" w:hAnsi="Verdana" w:cs="Tahoma"/>
                            <w:color w:val="555555"/>
                            <w:sz w:val="20"/>
                            <w:szCs w:val="20"/>
                            <w:lang w:eastAsia="is-IS"/>
                          </w:rPr>
                          <w:br/>
                          <w:t>Skylt er hverjum starfandi deildarmeðlimi að gæta þess er hann hefur umsjón með og verja það skemmdum að fengnu samþykki stjórnar og trúnaðarmannaráðs MFFÍ.</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3" w:name="15"/>
                        <w:bookmarkEnd w:id="13"/>
                        <w:r w:rsidRPr="00C555CA">
                          <w:rPr>
                            <w:rFonts w:ascii="Verdana" w:eastAsia="Times New Roman" w:hAnsi="Verdana" w:cs="Tahoma"/>
                            <w:b/>
                            <w:bCs/>
                            <w:color w:val="000080"/>
                            <w:sz w:val="20"/>
                            <w:szCs w:val="20"/>
                            <w:lang w:eastAsia="is-IS"/>
                          </w:rPr>
                          <w:t>15.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 xml:space="preserve">Stjórn deildarinnar skal skipuð 3 mönnum: Formanni, ritara, og gjaldkera. Kjörtímabil stjórnar er milli aðalfunda. Kosning skal vera skrifleg. </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4" w:name="16"/>
                        <w:bookmarkEnd w:id="14"/>
                        <w:r w:rsidRPr="00C555CA">
                          <w:rPr>
                            <w:rFonts w:ascii="Verdana" w:eastAsia="Times New Roman" w:hAnsi="Verdana" w:cs="Tahoma"/>
                            <w:b/>
                            <w:bCs/>
                            <w:color w:val="000080"/>
                            <w:sz w:val="20"/>
                            <w:szCs w:val="20"/>
                            <w:lang w:eastAsia="is-IS"/>
                          </w:rPr>
                          <w:t>16.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Formaður er forseti stjórnarinnar og hefur eftirlit með því að stjórnendur rækji skyldur sínar. Hann kallar saman stjórnarfundi, þá er honum finnst þörf og boðar til almennra funda og stýrir þeim. Hann hefur og á hendi framkvæmdir fyrir deildarinnar hönd.</w:t>
                        </w:r>
                        <w:r w:rsidRPr="00C555CA">
                          <w:rPr>
                            <w:rFonts w:ascii="Verdana" w:eastAsia="Times New Roman" w:hAnsi="Verdana" w:cs="Tahoma"/>
                            <w:color w:val="555555"/>
                            <w:sz w:val="20"/>
                            <w:szCs w:val="20"/>
                            <w:lang w:eastAsia="is-IS"/>
                          </w:rPr>
                          <w:br/>
                        </w:r>
                        <w:r w:rsidRPr="00C555CA">
                          <w:rPr>
                            <w:rFonts w:ascii="Verdana" w:eastAsia="Times New Roman" w:hAnsi="Verdana" w:cs="Tahoma"/>
                            <w:color w:val="555555"/>
                            <w:sz w:val="20"/>
                            <w:szCs w:val="20"/>
                            <w:lang w:eastAsia="is-IS"/>
                          </w:rPr>
                          <w:br/>
                          <w:t>Formaður situr alla stjórnarfundi, trúnaðarmannafundi og þá fundi sem stjórn MFFÍ boðar, og fylgist náið með starfi félagsins í heild.</w:t>
                        </w:r>
                      </w:p>
                      <w:p w:rsid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5" w:name="17"/>
                        <w:bookmarkEnd w:id="15"/>
                      </w:p>
                      <w:p w:rsid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p>
                      <w:p w:rsid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lastRenderedPageBreak/>
                          <w:t>17.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Stjórnin skal færa gjörðarbók. Þar skal færa öll þau mál er fyrir koma, tillögur svo og niðurstöður úr hverju máli. Stjórninni skal skylt að varðveita öll bréf send og móttekin, svo og önnur skilríki er varða deildina og störf hennar. Gögnin geymist á skrifstofu félagsins.</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6" w:name="18"/>
                        <w:bookmarkEnd w:id="16"/>
                        <w:r w:rsidRPr="00C555CA">
                          <w:rPr>
                            <w:rFonts w:ascii="Verdana" w:eastAsia="Times New Roman" w:hAnsi="Verdana" w:cs="Tahoma"/>
                            <w:b/>
                            <w:bCs/>
                            <w:color w:val="000080"/>
                            <w:sz w:val="20"/>
                            <w:szCs w:val="20"/>
                            <w:lang w:eastAsia="is-IS"/>
                          </w:rPr>
                          <w:t>18.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Ritari heldur gjörðabók og skrásetur í hana stuttorða og hlutlausa skýrslu um það sem fram fer á fundum deildarinnar, og undirritar hana. Hann sér um bréfaskriftir fyrir stjórnina og birtir deildarmönnum bréf og tilkynningar, og heldur félagaskrá.</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7" w:name="19"/>
                        <w:bookmarkEnd w:id="17"/>
                        <w:r w:rsidRPr="00C555CA">
                          <w:rPr>
                            <w:rFonts w:ascii="Verdana" w:eastAsia="Times New Roman" w:hAnsi="Verdana" w:cs="Tahoma"/>
                            <w:b/>
                            <w:bCs/>
                            <w:color w:val="000080"/>
                            <w:sz w:val="20"/>
                            <w:szCs w:val="20"/>
                            <w:lang w:eastAsia="is-IS"/>
                          </w:rPr>
                          <w:t>19.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Aðalfund skal halda fyrir 15. júní ár hvert. Gerir þá stjórnin grein fyrir störfum sínum á liðnu ári. Fundurinn er lögmætur ef til hans hefur verið boðað með 6. daga fyrirvara.</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bookmarkStart w:id="18" w:name="20"/>
                        <w:bookmarkEnd w:id="18"/>
                        <w:r w:rsidRPr="00C555CA">
                          <w:rPr>
                            <w:rFonts w:ascii="Verdana" w:eastAsia="Times New Roman" w:hAnsi="Verdana" w:cs="Tahoma"/>
                            <w:b/>
                            <w:bCs/>
                            <w:color w:val="000080"/>
                            <w:sz w:val="20"/>
                            <w:szCs w:val="20"/>
                            <w:lang w:eastAsia="is-IS"/>
                          </w:rPr>
                          <w:t>20.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Aðalfundi stjórnar sérstakur fundarstjóri sem formaður stingur upp á á aðalfundi. Samþykki meirihluta fundarmanna þarf til að fundarstjórinn sé samþykktur. Stjórn deildarinnar semur dagskrá aðalfundar og sendir út með fundarboði. Fundarritari ritar nafn sitt undir fundargjörðina.</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t>21.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Takist eigi að ljúka aðalfundarstörfum á einum fundi skal boðað til framhaldsaðalfundar með 6. daga fyrirvara og skal honum stjórnað samkvæmt 20. gr. þessara laga.</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t>22.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Aukafundi skal halda eins oft og þurfa þykir að áliti stjórnar, og ef 10 eða fleiri deildarmeðlimir æskja þess. Aukafundir eru lögmætir, ef til þeirra er boðað með 6. daga fyrirvara.</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t>23.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Um meðferð mála á fundum deildarinnar fer eftir fundarsköpum hennar. Um meiriháttar mál getur stjórnin látið fara fram allsherjaratkvæðagreiðslu ef hún álítur þess þörf og 10 deildarmeðlimir æskja þess, þó að undangengnum umræðum um málið á deildarfundi.</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t>24. grein</w:t>
                        </w:r>
                      </w:p>
                      <w:p w:rsidR="00C555CA" w:rsidRPr="00C555CA" w:rsidRDefault="00C555CA" w:rsidP="00C555CA">
                        <w:pPr>
                          <w:spacing w:after="240" w:line="240" w:lineRule="auto"/>
                          <w:jc w:val="left"/>
                          <w:textAlignment w:val="top"/>
                          <w:rPr>
                            <w:rFonts w:ascii="Verdana" w:eastAsia="Times New Roman" w:hAnsi="Verdana" w:cs="Tahoma"/>
                            <w:color w:val="555555"/>
                            <w:sz w:val="20"/>
                            <w:szCs w:val="20"/>
                            <w:lang w:eastAsia="is-IS"/>
                          </w:rPr>
                        </w:pPr>
                        <w:r w:rsidRPr="00C555CA">
                          <w:rPr>
                            <w:rFonts w:ascii="Verdana" w:eastAsia="Times New Roman" w:hAnsi="Verdana" w:cs="Tahoma"/>
                            <w:color w:val="555555"/>
                            <w:sz w:val="20"/>
                            <w:szCs w:val="20"/>
                            <w:lang w:eastAsia="is-IS"/>
                          </w:rPr>
                          <w:t>Gjaldkeri MFFÍ. innheimtir árgjöld og aðrar tekjur deildarinnar og hefur hann á hendi fjárhald og bókfærslu sem að því lýtur í samráði við gjaldkera deildarinnar. Sjóði deildarinnar skal hann geyma á vöxtum í banka, sparisjóði eða á jafn tryggum stað í samráði við stjórn deildarinnar. Stjórn deildarinnar ber öll í samneiningu ábyrgð á sjóðum deildarinnar.</w:t>
                        </w:r>
                      </w:p>
                      <w:p w:rsidR="00C555CA" w:rsidRPr="00C555CA" w:rsidRDefault="00C555CA" w:rsidP="00C555CA">
                        <w:pPr>
                          <w:spacing w:after="0" w:line="240" w:lineRule="auto"/>
                          <w:jc w:val="left"/>
                          <w:textAlignment w:val="top"/>
                          <w:outlineLvl w:val="1"/>
                          <w:rPr>
                            <w:rFonts w:ascii="Verdana" w:eastAsia="Times New Roman" w:hAnsi="Verdana" w:cs="Tahoma"/>
                            <w:b/>
                            <w:bCs/>
                            <w:color w:val="000080"/>
                            <w:sz w:val="20"/>
                            <w:szCs w:val="20"/>
                            <w:lang w:eastAsia="is-IS"/>
                          </w:rPr>
                        </w:pPr>
                        <w:r w:rsidRPr="00C555CA">
                          <w:rPr>
                            <w:rFonts w:ascii="Verdana" w:eastAsia="Times New Roman" w:hAnsi="Verdana" w:cs="Tahoma"/>
                            <w:b/>
                            <w:bCs/>
                            <w:color w:val="000080"/>
                            <w:sz w:val="20"/>
                            <w:szCs w:val="20"/>
                            <w:lang w:eastAsia="is-IS"/>
                          </w:rPr>
                          <w:t>25. grein</w:t>
                        </w:r>
                      </w:p>
                      <w:p w:rsidR="00C555CA" w:rsidRPr="00C555CA" w:rsidRDefault="00C555CA" w:rsidP="00C555CA">
                        <w:pPr>
                          <w:spacing w:after="0" w:line="240" w:lineRule="auto"/>
                          <w:jc w:val="left"/>
                          <w:textAlignment w:val="top"/>
                          <w:rPr>
                            <w:rFonts w:ascii="Verdana" w:eastAsia="Times New Roman" w:hAnsi="Verdana" w:cs="Times New Roman"/>
                            <w:color w:val="555555"/>
                            <w:sz w:val="20"/>
                            <w:szCs w:val="20"/>
                            <w:lang w:eastAsia="is-IS"/>
                          </w:rPr>
                        </w:pPr>
                        <w:r w:rsidRPr="00C555CA">
                          <w:rPr>
                            <w:rFonts w:ascii="Verdana" w:eastAsia="Times New Roman" w:hAnsi="Verdana" w:cs="Tahoma"/>
                            <w:color w:val="555555"/>
                            <w:sz w:val="20"/>
                            <w:szCs w:val="20"/>
                            <w:lang w:eastAsia="is-IS"/>
                          </w:rPr>
                          <w:t>Rísi ágreiningur mill deildarinnar og MFFÍ. skal skjóta honum til ASÍ.</w:t>
                        </w:r>
                      </w:p>
                    </w:tc>
                  </w:tr>
                  <w:tr w:rsidR="00C555CA" w:rsidRPr="00C555CA" w:rsidTr="00C555CA">
                    <w:trPr>
                      <w:trHeight w:val="15016"/>
                      <w:tblCellSpacing w:w="15" w:type="dxa"/>
                    </w:trPr>
                    <w:tc>
                      <w:tcPr>
                        <w:tcW w:w="0" w:type="auto"/>
                        <w:vMerge/>
                        <w:vAlign w:val="center"/>
                        <w:hideMark/>
                      </w:tcPr>
                      <w:p w:rsidR="00C555CA" w:rsidRPr="00C555CA" w:rsidRDefault="00C555CA" w:rsidP="00C555CA">
                        <w:pPr>
                          <w:spacing w:after="0" w:line="240" w:lineRule="auto"/>
                          <w:jc w:val="left"/>
                          <w:rPr>
                            <w:rFonts w:ascii="Verdana" w:eastAsia="Times New Roman" w:hAnsi="Verdana" w:cs="Times New Roman"/>
                            <w:color w:val="555555"/>
                            <w:sz w:val="20"/>
                            <w:szCs w:val="20"/>
                            <w:lang w:eastAsia="is-IS"/>
                          </w:rPr>
                        </w:pPr>
                      </w:p>
                    </w:tc>
                  </w:tr>
                </w:tbl>
                <w:p w:rsidR="00C555CA" w:rsidRPr="00C555CA" w:rsidRDefault="00C555CA" w:rsidP="00C555CA">
                  <w:pPr>
                    <w:spacing w:after="0" w:line="240" w:lineRule="auto"/>
                    <w:jc w:val="left"/>
                    <w:textAlignment w:val="top"/>
                    <w:rPr>
                      <w:rFonts w:ascii="Tahoma" w:eastAsia="Times New Roman" w:hAnsi="Tahoma" w:cs="Tahoma"/>
                      <w:color w:val="555555"/>
                      <w:sz w:val="20"/>
                      <w:szCs w:val="20"/>
                      <w:lang w:eastAsia="is-IS"/>
                    </w:rPr>
                  </w:pPr>
                </w:p>
              </w:tc>
            </w:tr>
          </w:tbl>
          <w:p w:rsidR="00C555CA" w:rsidRPr="00C555CA" w:rsidRDefault="00C555CA" w:rsidP="00C555CA">
            <w:pPr>
              <w:spacing w:after="0" w:line="240" w:lineRule="auto"/>
              <w:jc w:val="left"/>
              <w:textAlignment w:val="top"/>
              <w:rPr>
                <w:rFonts w:ascii="Tahoma" w:eastAsia="Times New Roman" w:hAnsi="Tahoma" w:cs="Tahoma"/>
                <w:color w:val="555555"/>
                <w:sz w:val="20"/>
                <w:szCs w:val="20"/>
                <w:lang w:eastAsia="is-IS"/>
              </w:rPr>
            </w:pPr>
          </w:p>
        </w:tc>
      </w:tr>
    </w:tbl>
    <w:p w:rsidR="00B970D3" w:rsidRDefault="00B970D3" w:rsidP="00C555CA">
      <w:pPr>
        <w:jc w:val="left"/>
      </w:pPr>
    </w:p>
    <w:sectPr w:rsidR="00B970D3" w:rsidSect="00C555CA">
      <w:pgSz w:w="11906" w:h="16838"/>
      <w:pgMar w:top="510" w:right="1418" w:bottom="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5CA"/>
    <w:rsid w:val="00B970D3"/>
    <w:rsid w:val="00C161DE"/>
    <w:rsid w:val="00C555CA"/>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D3"/>
  </w:style>
  <w:style w:type="paragraph" w:styleId="Heading2">
    <w:name w:val="heading 2"/>
    <w:basedOn w:val="Normal"/>
    <w:link w:val="Heading2Char"/>
    <w:uiPriority w:val="9"/>
    <w:qFormat/>
    <w:rsid w:val="00C555CA"/>
    <w:pPr>
      <w:spacing w:after="0" w:line="240" w:lineRule="auto"/>
      <w:jc w:val="left"/>
      <w:outlineLvl w:val="1"/>
    </w:pPr>
    <w:rPr>
      <w:rFonts w:ascii="Tahoma" w:eastAsia="Times New Roman" w:hAnsi="Tahoma" w:cs="Tahoma"/>
      <w:b/>
      <w:bCs/>
      <w:color w:val="000080"/>
      <w:sz w:val="20"/>
      <w:szCs w:val="20"/>
      <w:lang w:eastAsia="is-IS"/>
    </w:rPr>
  </w:style>
  <w:style w:type="paragraph" w:styleId="Heading4">
    <w:name w:val="heading 4"/>
    <w:basedOn w:val="Normal"/>
    <w:link w:val="Heading4Char"/>
    <w:uiPriority w:val="9"/>
    <w:qFormat/>
    <w:rsid w:val="00C555CA"/>
    <w:pPr>
      <w:spacing w:after="0" w:line="240" w:lineRule="auto"/>
      <w:jc w:val="left"/>
      <w:outlineLvl w:val="3"/>
    </w:pPr>
    <w:rPr>
      <w:rFonts w:ascii="Arial" w:eastAsia="Times New Roman" w:hAnsi="Arial" w:cs="Arial"/>
      <w:b/>
      <w:bCs/>
      <w:color w:val="000000"/>
      <w:sz w:val="20"/>
      <w:szCs w:val="20"/>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5CA"/>
    <w:rPr>
      <w:rFonts w:ascii="Tahoma" w:eastAsia="Times New Roman" w:hAnsi="Tahoma" w:cs="Tahoma"/>
      <w:b/>
      <w:bCs/>
      <w:color w:val="000080"/>
      <w:sz w:val="20"/>
      <w:szCs w:val="20"/>
      <w:lang w:eastAsia="is-IS"/>
    </w:rPr>
  </w:style>
  <w:style w:type="character" w:customStyle="1" w:styleId="Heading4Char">
    <w:name w:val="Heading 4 Char"/>
    <w:basedOn w:val="DefaultParagraphFont"/>
    <w:link w:val="Heading4"/>
    <w:uiPriority w:val="9"/>
    <w:rsid w:val="00C555CA"/>
    <w:rPr>
      <w:rFonts w:ascii="Arial" w:eastAsia="Times New Roman" w:hAnsi="Arial" w:cs="Arial"/>
      <w:b/>
      <w:bCs/>
      <w:color w:val="000000"/>
      <w:sz w:val="20"/>
      <w:szCs w:val="20"/>
      <w:lang w:eastAsia="is-IS"/>
    </w:rPr>
  </w:style>
  <w:style w:type="paragraph" w:styleId="NormalWeb">
    <w:name w:val="Normal (Web)"/>
    <w:basedOn w:val="Normal"/>
    <w:uiPriority w:val="99"/>
    <w:unhideWhenUsed/>
    <w:rsid w:val="00C555CA"/>
    <w:pPr>
      <w:spacing w:before="100" w:beforeAutospacing="1" w:after="100" w:afterAutospacing="1" w:line="240" w:lineRule="auto"/>
      <w:jc w:val="left"/>
    </w:pPr>
    <w:rPr>
      <w:rFonts w:ascii="Arial" w:eastAsia="Times New Roman" w:hAnsi="Arial" w:cs="Arial"/>
      <w:sz w:val="18"/>
      <w:szCs w:val="18"/>
      <w:lang w:eastAsia="is-IS"/>
    </w:rPr>
  </w:style>
</w:styles>
</file>

<file path=word/webSettings.xml><?xml version="1.0" encoding="utf-8"?>
<w:webSettings xmlns:r="http://schemas.openxmlformats.org/officeDocument/2006/relationships" xmlns:w="http://schemas.openxmlformats.org/wordprocessingml/2006/main">
  <w:divs>
    <w:div w:id="560096692">
      <w:bodyDiv w:val="1"/>
      <w:marLeft w:val="0"/>
      <w:marRight w:val="0"/>
      <w:marTop w:val="0"/>
      <w:marBottom w:val="0"/>
      <w:divBdr>
        <w:top w:val="none" w:sz="0" w:space="0" w:color="auto"/>
        <w:left w:val="none" w:sz="0" w:space="0" w:color="auto"/>
        <w:bottom w:val="none" w:sz="0" w:space="0" w:color="auto"/>
        <w:right w:val="none" w:sz="0" w:space="0" w:color="auto"/>
      </w:divBdr>
      <w:divsChild>
        <w:div w:id="400522663">
          <w:marLeft w:val="0"/>
          <w:marRight w:val="0"/>
          <w:marTop w:val="0"/>
          <w:marBottom w:val="180"/>
          <w:divBdr>
            <w:top w:val="single" w:sz="6" w:space="1" w:color="000000"/>
            <w:left w:val="none" w:sz="0" w:space="0" w:color="auto"/>
            <w:bottom w:val="single" w:sz="6" w:space="2"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Markús</dc:creator>
  <cp:keywords/>
  <dc:description/>
  <cp:lastModifiedBy>Markús</cp:lastModifiedBy>
  <cp:revision>1</cp:revision>
  <dcterms:created xsi:type="dcterms:W3CDTF">2012-02-22T19:30:00Z</dcterms:created>
  <dcterms:modified xsi:type="dcterms:W3CDTF">2012-02-22T19:35:00Z</dcterms:modified>
</cp:coreProperties>
</file>